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Requisitos de las muestras</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los productos de PCR marcados con el fluoróforo (6-FAM, VIC, NED, PET) se necesitan 3 μl por muestra.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 se entrega la placa con las muestras marcadas y el estándar de tamaño se necesitan al menos 10 μl. </w:t>
      </w:r>
    </w:p>
    <w:p w:rsidR="00000000" w:rsidDel="00000000" w:rsidP="00000000" w:rsidRDefault="00000000" w:rsidRPr="00000000" w14:paraId="00000004">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El usuario debe mostrar la foto del gel donde se corrió el producto de PCR o enviarla por correo.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Recepción de la muestras</w:t>
      </w:r>
    </w:p>
    <w:p w:rsidR="00000000" w:rsidDel="00000000" w:rsidP="00000000" w:rsidRDefault="00000000" w:rsidRPr="00000000" w14:paraId="00000007">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Las muestras se entregan en el Laboratorio de Secuenciación Genómica de la Biodiversidad y de la Salud, y el formato correspondiente (LNB-LSG-FP04-01) se envía por correo electrónico a Laura Márquez </w:t>
      </w:r>
      <w:hyperlink r:id="rId7">
        <w:r w:rsidDel="00000000" w:rsidR="00000000" w:rsidRPr="00000000">
          <w:rPr>
            <w:rFonts w:ascii="Arial" w:cs="Arial" w:eastAsia="Arial" w:hAnsi="Arial"/>
            <w:color w:val="0000ff"/>
            <w:sz w:val="22"/>
            <w:szCs w:val="22"/>
            <w:u w:val="single"/>
            <w:rtl w:val="0"/>
          </w:rPr>
          <w:t xml:space="preserve">lmarquez@ib.unam.mx</w:t>
        </w:r>
      </w:hyperlink>
      <w:r w:rsidDel="00000000" w:rsidR="00000000" w:rsidRPr="00000000">
        <w:rPr>
          <w:rFonts w:ascii="Arial" w:cs="Arial" w:eastAsia="Arial" w:hAnsi="Arial"/>
          <w:sz w:val="22"/>
          <w:szCs w:val="22"/>
          <w:rtl w:val="0"/>
        </w:rPr>
        <w:t xml:space="preserve"> y/o Nelly López </w:t>
      </w:r>
      <w:hyperlink r:id="rId8">
        <w:r w:rsidDel="00000000" w:rsidR="00000000" w:rsidRPr="00000000">
          <w:rPr>
            <w:rFonts w:ascii="Arial" w:cs="Arial" w:eastAsia="Arial" w:hAnsi="Arial"/>
            <w:color w:val="0000ff"/>
            <w:sz w:val="22"/>
            <w:szCs w:val="22"/>
            <w:u w:val="single"/>
            <w:rtl w:val="0"/>
          </w:rPr>
          <w:t xml:space="preserve">nelly.lopez@ib.unam.mx</w:t>
        </w:r>
      </w:hyperlink>
      <w:r w:rsidDel="00000000" w:rsidR="00000000" w:rsidRPr="00000000">
        <w:rPr>
          <w:rFonts w:ascii="Arial" w:cs="Arial" w:eastAsia="Arial" w:hAnsi="Arial"/>
          <w:sz w:val="22"/>
          <w:szCs w:val="22"/>
          <w:rtl w:val="0"/>
        </w:rPr>
        <w:t xml:space="preserve">. Se sugiere que en el traslado del lugar de trabajo al Laboratorio de Secuenciación las muestras estén en hielo.</w:t>
      </w:r>
    </w:p>
    <w:p w:rsidR="00000000" w:rsidDel="00000000" w:rsidP="00000000" w:rsidRDefault="00000000" w:rsidRPr="00000000" w14:paraId="00000008">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Una vez recibidas se anotan en el registro de recepción de muestras (LNB-LSG-FP03-01), aquí deben especificarse si las muestras ya están listas para correr en el secuenciador o se deben de preparar con la formamida y el estándar de tamaño (LIZ o ROX). En este momento quedará asignado el código y se anotará el mismo número en el formato que enviaron por correo.</w:t>
      </w:r>
    </w:p>
    <w:p w:rsidR="00000000" w:rsidDel="00000000" w:rsidP="00000000" w:rsidRDefault="00000000" w:rsidRPr="00000000" w14:paraId="0000000A">
      <w:pPr>
        <w:spacing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Tiempo de entrega</w:t>
      </w:r>
    </w:p>
    <w:p w:rsidR="00000000" w:rsidDel="00000000" w:rsidP="00000000" w:rsidRDefault="00000000" w:rsidRPr="00000000" w14:paraId="0000000C">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Los resultados se entregan en 1 semana, si el número de muestras es mayor a 192 (2 placas) el tiempo de entrega es de 2 a 3 semanas.</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NOTA 1: </w:t>
      </w:r>
      <w:r w:rsidDel="00000000" w:rsidR="00000000" w:rsidRPr="00000000">
        <w:rPr>
          <w:rFonts w:ascii="Arial" w:cs="Arial" w:eastAsia="Arial" w:hAnsi="Arial"/>
          <w:sz w:val="22"/>
          <w:szCs w:val="22"/>
          <w:rtl w:val="0"/>
        </w:rPr>
        <w:t xml:space="preserve">En caso de no cumplir con las especificaciones de entrega de muestras se informará al usuario que esto puede afectar el resultado y que el Laboratorio no se hará responsable, si está de acuerdo en que se procesen así las muestras se le pedirá que firme en el registro de recepción de muestras (LNB-LSG-FP03-01). El usuario debe considerar que </w:t>
      </w:r>
      <w:r w:rsidDel="00000000" w:rsidR="00000000" w:rsidRPr="00000000">
        <w:rPr>
          <w:rFonts w:ascii="Arial" w:cs="Arial" w:eastAsia="Arial" w:hAnsi="Arial"/>
          <w:color w:val="222222"/>
          <w:sz w:val="22"/>
          <w:szCs w:val="22"/>
          <w:highlight w:val="white"/>
          <w:rtl w:val="0"/>
        </w:rPr>
        <w:t xml:space="preserve">para obtener un buen resultado es muy importante la calidad del DNA proporcionado para el análisis de fragmentos.</w:t>
      </w:r>
      <w:r w:rsidDel="00000000" w:rsidR="00000000" w:rsidRPr="00000000">
        <w:rPr>
          <w:rtl w:val="0"/>
        </w:rPr>
      </w:r>
    </w:p>
    <w:p w:rsidR="00000000" w:rsidDel="00000000" w:rsidP="00000000" w:rsidRDefault="00000000" w:rsidRPr="00000000" w14:paraId="00000010">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NOTA 2: </w:t>
      </w:r>
      <w:r w:rsidDel="00000000" w:rsidR="00000000" w:rsidRPr="00000000">
        <w:rPr>
          <w:rFonts w:ascii="Arial" w:cs="Arial" w:eastAsia="Arial" w:hAnsi="Arial"/>
          <w:sz w:val="22"/>
          <w:szCs w:val="22"/>
          <w:rtl w:val="0"/>
        </w:rPr>
        <w:t xml:space="preserve">Después de recibir los resultados, las muestras estarán disponibles dos semanas en el laboratorio. Pasado ese tiempo las muestras serán desechadas.</w:t>
      </w:r>
      <w:r w:rsidDel="00000000" w:rsidR="00000000" w:rsidRPr="00000000">
        <w:rPr>
          <w:rtl w:val="0"/>
        </w:rPr>
      </w:r>
    </w:p>
    <w:p w:rsidR="00000000" w:rsidDel="00000000" w:rsidP="00000000" w:rsidRDefault="00000000" w:rsidRPr="00000000" w14:paraId="00000013">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923.0" w:type="dxa"/>
      <w:jc w:val="left"/>
      <w:tblInd w:w="-32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3"/>
      <w:gridCol w:w="2126"/>
      <w:gridCol w:w="1701"/>
      <w:gridCol w:w="1276"/>
      <w:gridCol w:w="851"/>
      <w:gridCol w:w="1134"/>
      <w:gridCol w:w="992"/>
      <w:tblGridChange w:id="0">
        <w:tblGrid>
          <w:gridCol w:w="1843"/>
          <w:gridCol w:w="2126"/>
          <w:gridCol w:w="1701"/>
          <w:gridCol w:w="1276"/>
          <w:gridCol w:w="851"/>
          <w:gridCol w:w="1134"/>
          <w:gridCol w:w="992"/>
        </w:tblGrid>
      </w:tblGridChange>
    </w:tblGrid>
    <w:tr>
      <w:trPr>
        <w:trHeight w:val="1989" w:hRule="atLeast"/>
      </w:trPr>
      <w:tc>
        <w:tcPr>
          <w:tcBorders>
            <w:right w:color="000000" w:space="0" w:sz="0" w:val="nil"/>
          </w:tcBorders>
          <w:vAlign w:val="center"/>
        </w:tcPr>
        <w:p w:rsidR="00000000" w:rsidDel="00000000" w:rsidP="00000000" w:rsidRDefault="00000000" w:rsidRPr="00000000" w14:paraId="00000016">
          <w:pPr>
            <w:jc w:val="center"/>
            <w:rPr>
              <w:rFonts w:ascii="Calibri" w:cs="Calibri" w:eastAsia="Calibri" w:hAnsi="Calibri"/>
              <w:sz w:val="18"/>
              <w:szCs w:val="18"/>
            </w:rPr>
          </w:pPr>
          <w:r w:rsidDel="00000000" w:rsidR="00000000" w:rsidRPr="00000000">
            <w:rPr>
              <w:rFonts w:ascii="Calibri" w:cs="Calibri" w:eastAsia="Calibri" w:hAnsi="Calibri"/>
              <w:sz w:val="18"/>
              <w:szCs w:val="18"/>
            </w:rPr>
            <w:drawing>
              <wp:inline distB="0" distT="0" distL="0" distR="0">
                <wp:extent cx="638175" cy="897255"/>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38175" cy="897255"/>
                        </a:xfrm>
                        <a:prstGeom prst="rect"/>
                        <a:ln/>
                      </pic:spPr>
                    </pic:pic>
                  </a:graphicData>
                </a:graphic>
              </wp:inline>
            </w:drawing>
          </w:r>
          <w:r w:rsidDel="00000000" w:rsidR="00000000" w:rsidRPr="00000000">
            <w:rPr>
              <w:rtl w:val="0"/>
            </w:rPr>
          </w:r>
        </w:p>
      </w:tc>
      <w:tc>
        <w:tcPr>
          <w:gridSpan w:val="4"/>
          <w:tcBorders>
            <w:left w:color="000000" w:space="0" w:sz="0" w:val="nil"/>
            <w:right w:color="000000" w:space="0" w:sz="0" w:val="nil"/>
          </w:tcBorders>
          <w:vAlign w:val="center"/>
        </w:tcPr>
        <w:p w:rsidR="00000000" w:rsidDel="00000000" w:rsidP="00000000" w:rsidRDefault="00000000" w:rsidRPr="00000000" w14:paraId="00000017">
          <w:pPr>
            <w:jc w:val="center"/>
            <w:rPr>
              <w:rFonts w:ascii="Calibri" w:cs="Calibri" w:eastAsia="Calibri" w:hAnsi="Calibri"/>
              <w:b w:val="1"/>
              <w:color w:val="99772f"/>
              <w:sz w:val="22"/>
              <w:szCs w:val="22"/>
            </w:rPr>
          </w:pPr>
          <w:r w:rsidDel="00000000" w:rsidR="00000000" w:rsidRPr="00000000">
            <w:rPr>
              <w:rFonts w:ascii="Calibri" w:cs="Calibri" w:eastAsia="Calibri" w:hAnsi="Calibri"/>
              <w:b w:val="1"/>
              <w:color w:val="99772f"/>
              <w:sz w:val="22"/>
              <w:szCs w:val="22"/>
              <w:rtl w:val="0"/>
            </w:rPr>
            <w:t xml:space="preserve">UNIVERSIDAD NACIONAL AUTÓNOMA DE MÉXICO</w:t>
          </w:r>
        </w:p>
        <w:p w:rsidR="00000000" w:rsidDel="00000000" w:rsidP="00000000" w:rsidRDefault="00000000" w:rsidRPr="00000000" w14:paraId="00000018">
          <w:pPr>
            <w:jc w:val="center"/>
            <w:rPr>
              <w:rFonts w:ascii="Calibri" w:cs="Calibri" w:eastAsia="Calibri" w:hAnsi="Calibri"/>
              <w:b w:val="1"/>
              <w:color w:val="99772f"/>
              <w:sz w:val="22"/>
              <w:szCs w:val="22"/>
            </w:rPr>
          </w:pPr>
          <w:r w:rsidDel="00000000" w:rsidR="00000000" w:rsidRPr="00000000">
            <w:rPr>
              <w:rFonts w:ascii="Calibri" w:cs="Calibri" w:eastAsia="Calibri" w:hAnsi="Calibri"/>
              <w:b w:val="1"/>
              <w:color w:val="99772f"/>
              <w:sz w:val="22"/>
              <w:szCs w:val="22"/>
              <w:rtl w:val="0"/>
            </w:rPr>
            <w:t xml:space="preserve">INSTITUTO DE BIOLOGÍA</w:t>
          </w:r>
        </w:p>
        <w:p w:rsidR="00000000" w:rsidDel="00000000" w:rsidP="00000000" w:rsidRDefault="00000000" w:rsidRPr="00000000" w14:paraId="00000019">
          <w:pPr>
            <w:jc w:val="center"/>
            <w:rPr>
              <w:rFonts w:ascii="Calibri" w:cs="Calibri" w:eastAsia="Calibri" w:hAnsi="Calibri"/>
              <w:b w:val="1"/>
              <w:color w:val="99772f"/>
              <w:sz w:val="22"/>
              <w:szCs w:val="22"/>
            </w:rPr>
          </w:pPr>
          <w:r w:rsidDel="00000000" w:rsidR="00000000" w:rsidRPr="00000000">
            <w:rPr>
              <w:rFonts w:ascii="Calibri" w:cs="Calibri" w:eastAsia="Calibri" w:hAnsi="Calibri"/>
              <w:b w:val="1"/>
              <w:color w:val="99772f"/>
              <w:sz w:val="22"/>
              <w:szCs w:val="22"/>
              <w:rtl w:val="0"/>
            </w:rPr>
            <w:t xml:space="preserve">LABORATORIO NACIONAL DE BIODIVERSIDAD</w:t>
          </w:r>
        </w:p>
        <w:p w:rsidR="00000000" w:rsidDel="00000000" w:rsidP="00000000" w:rsidRDefault="00000000" w:rsidRPr="00000000" w14:paraId="0000001A">
          <w:pPr>
            <w:jc w:val="center"/>
            <w:rPr>
              <w:rFonts w:ascii="Calibri" w:cs="Calibri" w:eastAsia="Calibri" w:hAnsi="Calibri"/>
              <w:b w:val="1"/>
              <w:color w:val="99772f"/>
              <w:sz w:val="22"/>
              <w:szCs w:val="22"/>
            </w:rPr>
          </w:pPr>
          <w:r w:rsidDel="00000000" w:rsidR="00000000" w:rsidRPr="00000000">
            <w:rPr>
              <w:rFonts w:ascii="Calibri" w:cs="Calibri" w:eastAsia="Calibri" w:hAnsi="Calibri"/>
              <w:b w:val="1"/>
              <w:color w:val="99772f"/>
              <w:sz w:val="22"/>
              <w:szCs w:val="22"/>
              <w:rtl w:val="0"/>
            </w:rPr>
            <w:t xml:space="preserve">LABORATORIO DE SECUENCIACIÓN GENÓMICA DE LA BIODIVERSIDAD Y DE LA SALUD</w:t>
          </w:r>
        </w:p>
        <w:p w:rsidR="00000000" w:rsidDel="00000000" w:rsidP="00000000" w:rsidRDefault="00000000" w:rsidRPr="00000000" w14:paraId="0000001B">
          <w:pPr>
            <w:jc w:val="center"/>
            <w:rPr>
              <w:rFonts w:ascii="Calibri" w:cs="Calibri" w:eastAsia="Calibri" w:hAnsi="Calibri"/>
              <w:b w:val="1"/>
              <w:color w:val="99772f"/>
              <w:sz w:val="22"/>
              <w:szCs w:val="22"/>
            </w:rPr>
          </w:pPr>
          <w:r w:rsidDel="00000000" w:rsidR="00000000" w:rsidRPr="00000000">
            <w:rPr>
              <w:rtl w:val="0"/>
            </w:rPr>
          </w:r>
        </w:p>
        <w:p w:rsidR="00000000" w:rsidDel="00000000" w:rsidP="00000000" w:rsidRDefault="00000000" w:rsidRPr="00000000" w14:paraId="0000001C">
          <w:pPr>
            <w:jc w:val="center"/>
            <w:rPr>
              <w:rFonts w:ascii="Calibri" w:cs="Calibri" w:eastAsia="Calibri" w:hAnsi="Calibri"/>
              <w:b w:val="1"/>
              <w:color w:val="99772f"/>
              <w:sz w:val="18"/>
              <w:szCs w:val="18"/>
            </w:rPr>
          </w:pPr>
          <w:bookmarkStart w:colFirst="0" w:colLast="0" w:name="_heading=h.gjdgxs" w:id="0"/>
          <w:bookmarkEnd w:id="0"/>
          <w:r w:rsidDel="00000000" w:rsidR="00000000" w:rsidRPr="00000000">
            <w:rPr>
              <w:rFonts w:ascii="Calibri" w:cs="Calibri" w:eastAsia="Calibri" w:hAnsi="Calibri"/>
              <w:b w:val="1"/>
              <w:color w:val="99772f"/>
              <w:sz w:val="22"/>
              <w:szCs w:val="22"/>
              <w:rtl w:val="0"/>
            </w:rPr>
            <w:t xml:space="preserve">GUÍA RÁPIDA PARA LA RECEPCIÓN DE LAS MUESTRAS PARA ANÁLISIS DE FRAGMENTOS DE DNA</w:t>
          </w:r>
          <w:r w:rsidDel="00000000" w:rsidR="00000000" w:rsidRPr="00000000">
            <w:rPr>
              <w:rtl w:val="0"/>
            </w:rPr>
          </w:r>
        </w:p>
      </w:tc>
      <w:tc>
        <w:tcPr>
          <w:gridSpan w:val="2"/>
          <w:tcBorders>
            <w:left w:color="000000" w:space="0" w:sz="0" w:val="nil"/>
          </w:tcBorders>
          <w:vAlign w:val="center"/>
        </w:tcPr>
        <w:p w:rsidR="00000000" w:rsidDel="00000000" w:rsidP="00000000" w:rsidRDefault="00000000" w:rsidRPr="00000000" w14:paraId="00000020">
          <w:pPr>
            <w:jc w:val="center"/>
            <w:rPr>
              <w:rFonts w:ascii="Calibri" w:cs="Calibri" w:eastAsia="Calibri" w:hAnsi="Calibri"/>
              <w:sz w:val="18"/>
              <w:szCs w:val="18"/>
            </w:rPr>
          </w:pPr>
          <w:r w:rsidDel="00000000" w:rsidR="00000000" w:rsidRPr="00000000">
            <w:rPr>
              <w:rFonts w:ascii="Calibri" w:cs="Calibri" w:eastAsia="Calibri" w:hAnsi="Calibri"/>
              <w:sz w:val="18"/>
              <w:szCs w:val="18"/>
            </w:rPr>
            <w:drawing>
              <wp:inline distB="0" distT="0" distL="0" distR="0">
                <wp:extent cx="1164590" cy="914400"/>
                <wp:effectExtent b="0" l="0" r="0" t="0"/>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64590" cy="914400"/>
                        </a:xfrm>
                        <a:prstGeom prst="rect"/>
                        <a:ln/>
                      </pic:spPr>
                    </pic:pic>
                  </a:graphicData>
                </a:graphic>
              </wp:inline>
            </w:drawing>
          </w:r>
          <w:r w:rsidDel="00000000" w:rsidR="00000000" w:rsidRPr="00000000">
            <w:rPr>
              <w:rtl w:val="0"/>
            </w:rPr>
          </w:r>
        </w:p>
      </w:tc>
    </w:tr>
    <w:tr>
      <w:trPr>
        <w:trHeight w:val="552" w:hRule="atLeast"/>
      </w:trPr>
      <w:tc>
        <w:tcPr>
          <w:tcBorders>
            <w:top w:color="000000" w:space="0" w:sz="4" w:val="single"/>
          </w:tcBorders>
          <w:vAlign w:val="center"/>
        </w:tcPr>
        <w:p w:rsidR="00000000" w:rsidDel="00000000" w:rsidP="00000000" w:rsidRDefault="00000000" w:rsidRPr="00000000" w14:paraId="00000022">
          <w:pPr>
            <w:jc w:val="center"/>
            <w:rPr>
              <w:rFonts w:ascii="Calibri" w:cs="Calibri" w:eastAsia="Calibri" w:hAnsi="Calibri"/>
              <w:b w:val="1"/>
              <w:color w:val="7f7f7f"/>
              <w:sz w:val="18"/>
              <w:szCs w:val="18"/>
            </w:rPr>
          </w:pPr>
          <w:r w:rsidDel="00000000" w:rsidR="00000000" w:rsidRPr="00000000">
            <w:rPr>
              <w:rFonts w:ascii="Calibri" w:cs="Calibri" w:eastAsia="Calibri" w:hAnsi="Calibri"/>
              <w:b w:val="1"/>
              <w:color w:val="7f7f7f"/>
              <w:sz w:val="18"/>
              <w:szCs w:val="18"/>
              <w:rtl w:val="0"/>
            </w:rPr>
            <w:t xml:space="preserve">LNB-LSG-P04-G01</w:t>
          </w:r>
        </w:p>
      </w:tc>
      <w:tc>
        <w:tcPr>
          <w:tcBorders>
            <w:top w:color="000000" w:space="0" w:sz="4" w:val="single"/>
          </w:tcBorders>
          <w:vAlign w:val="center"/>
        </w:tcPr>
        <w:p w:rsidR="00000000" w:rsidDel="00000000" w:rsidP="00000000" w:rsidRDefault="00000000" w:rsidRPr="00000000" w14:paraId="00000023">
          <w:pPr>
            <w:jc w:val="center"/>
            <w:rPr>
              <w:rFonts w:ascii="Calibri" w:cs="Calibri" w:eastAsia="Calibri" w:hAnsi="Calibri"/>
              <w:b w:val="1"/>
              <w:color w:val="7f7f7f"/>
              <w:sz w:val="18"/>
              <w:szCs w:val="18"/>
            </w:rPr>
          </w:pPr>
          <w:r w:rsidDel="00000000" w:rsidR="00000000" w:rsidRPr="00000000">
            <w:rPr>
              <w:rFonts w:ascii="Calibri" w:cs="Calibri" w:eastAsia="Calibri" w:hAnsi="Calibri"/>
              <w:b w:val="1"/>
              <w:color w:val="7f7f7f"/>
              <w:sz w:val="18"/>
              <w:szCs w:val="18"/>
              <w:rtl w:val="0"/>
            </w:rPr>
            <w:t xml:space="preserve">Fecha de emisión</w:t>
          </w:r>
        </w:p>
      </w:tc>
      <w:tc>
        <w:tcPr>
          <w:tcBorders>
            <w:top w:color="000000" w:space="0" w:sz="4" w:val="single"/>
          </w:tcBorders>
          <w:vAlign w:val="center"/>
        </w:tcPr>
        <w:p w:rsidR="00000000" w:rsidDel="00000000" w:rsidP="00000000" w:rsidRDefault="00000000" w:rsidRPr="00000000" w14:paraId="00000024">
          <w:pPr>
            <w:jc w:val="center"/>
            <w:rPr>
              <w:rFonts w:ascii="Calibri" w:cs="Calibri" w:eastAsia="Calibri" w:hAnsi="Calibri"/>
              <w:b w:val="1"/>
              <w:color w:val="7f7f7f"/>
              <w:sz w:val="18"/>
              <w:szCs w:val="18"/>
            </w:rPr>
          </w:pPr>
          <w:r w:rsidDel="00000000" w:rsidR="00000000" w:rsidRPr="00000000">
            <w:rPr>
              <w:rFonts w:ascii="Calibri" w:cs="Calibri" w:eastAsia="Calibri" w:hAnsi="Calibri"/>
              <w:b w:val="1"/>
              <w:color w:val="7f7f7f"/>
              <w:sz w:val="18"/>
              <w:szCs w:val="18"/>
              <w:rtl w:val="0"/>
            </w:rPr>
            <w:t xml:space="preserve">2021-01-22</w:t>
          </w:r>
        </w:p>
      </w:tc>
      <w:tc>
        <w:tcPr>
          <w:tcBorders>
            <w:top w:color="000000" w:space="0" w:sz="4" w:val="single"/>
          </w:tcBorders>
          <w:vAlign w:val="center"/>
        </w:tcPr>
        <w:p w:rsidR="00000000" w:rsidDel="00000000" w:rsidP="00000000" w:rsidRDefault="00000000" w:rsidRPr="00000000" w14:paraId="00000025">
          <w:pPr>
            <w:jc w:val="center"/>
            <w:rPr>
              <w:rFonts w:ascii="Calibri" w:cs="Calibri" w:eastAsia="Calibri" w:hAnsi="Calibri"/>
              <w:b w:val="1"/>
              <w:color w:val="7f7f7f"/>
              <w:sz w:val="18"/>
              <w:szCs w:val="18"/>
            </w:rPr>
          </w:pPr>
          <w:r w:rsidDel="00000000" w:rsidR="00000000" w:rsidRPr="00000000">
            <w:rPr>
              <w:rFonts w:ascii="Calibri" w:cs="Calibri" w:eastAsia="Calibri" w:hAnsi="Calibri"/>
              <w:b w:val="1"/>
              <w:color w:val="7f7f7f"/>
              <w:sz w:val="18"/>
              <w:szCs w:val="18"/>
              <w:rtl w:val="0"/>
            </w:rPr>
            <w:t xml:space="preserve">Versión:</w:t>
          </w:r>
        </w:p>
      </w:tc>
      <w:tc>
        <w:tcPr>
          <w:tcBorders>
            <w:top w:color="000000" w:space="0" w:sz="4" w:val="single"/>
          </w:tcBorders>
          <w:vAlign w:val="center"/>
        </w:tcPr>
        <w:p w:rsidR="00000000" w:rsidDel="00000000" w:rsidP="00000000" w:rsidRDefault="00000000" w:rsidRPr="00000000" w14:paraId="00000026">
          <w:pPr>
            <w:jc w:val="center"/>
            <w:rPr>
              <w:rFonts w:ascii="Calibri" w:cs="Calibri" w:eastAsia="Calibri" w:hAnsi="Calibri"/>
              <w:b w:val="1"/>
              <w:color w:val="7f7f7f"/>
              <w:sz w:val="18"/>
              <w:szCs w:val="18"/>
            </w:rPr>
          </w:pPr>
          <w:r w:rsidDel="00000000" w:rsidR="00000000" w:rsidRPr="00000000">
            <w:rPr>
              <w:rFonts w:ascii="Calibri" w:cs="Calibri" w:eastAsia="Calibri" w:hAnsi="Calibri"/>
              <w:b w:val="1"/>
              <w:color w:val="7f7f7f"/>
              <w:sz w:val="18"/>
              <w:szCs w:val="18"/>
              <w:rtl w:val="0"/>
            </w:rPr>
            <w:t xml:space="preserve">4</w:t>
          </w:r>
        </w:p>
      </w:tc>
      <w:tc>
        <w:tcPr>
          <w:tcBorders>
            <w:top w:color="000000" w:space="0" w:sz="4" w:val="single"/>
          </w:tcBorders>
          <w:vAlign w:val="center"/>
        </w:tcPr>
        <w:p w:rsidR="00000000" w:rsidDel="00000000" w:rsidP="00000000" w:rsidRDefault="00000000" w:rsidRPr="00000000" w14:paraId="00000027">
          <w:pPr>
            <w:jc w:val="center"/>
            <w:rPr>
              <w:rFonts w:ascii="Calibri" w:cs="Calibri" w:eastAsia="Calibri" w:hAnsi="Calibri"/>
              <w:b w:val="1"/>
              <w:color w:val="7f7f7f"/>
              <w:sz w:val="18"/>
              <w:szCs w:val="18"/>
            </w:rPr>
          </w:pPr>
          <w:r w:rsidDel="00000000" w:rsidR="00000000" w:rsidRPr="00000000">
            <w:rPr>
              <w:rFonts w:ascii="Calibri" w:cs="Calibri" w:eastAsia="Calibri" w:hAnsi="Calibri"/>
              <w:b w:val="1"/>
              <w:color w:val="7f7f7f"/>
              <w:sz w:val="18"/>
              <w:szCs w:val="18"/>
              <w:rtl w:val="0"/>
            </w:rPr>
            <w:t xml:space="preserve">Página:</w:t>
          </w:r>
        </w:p>
      </w:tc>
      <w:tc>
        <w:tcPr>
          <w:tcBorders>
            <w:top w:color="000000" w:space="0" w:sz="4" w:val="single"/>
          </w:tcBorders>
          <w:vAlign w:val="center"/>
        </w:tcPr>
        <w:p w:rsidR="00000000" w:rsidDel="00000000" w:rsidP="00000000" w:rsidRDefault="00000000" w:rsidRPr="00000000" w14:paraId="00000028">
          <w:pPr>
            <w:jc w:val="center"/>
            <w:rPr>
              <w:rFonts w:ascii="Calibri" w:cs="Calibri" w:eastAsia="Calibri" w:hAnsi="Calibri"/>
              <w:b w:val="1"/>
              <w:color w:val="7f7f7f"/>
              <w:sz w:val="18"/>
              <w:szCs w:val="18"/>
            </w:rPr>
          </w:pPr>
          <w:r w:rsidDel="00000000" w:rsidR="00000000" w:rsidRPr="00000000">
            <w:rPr>
              <w:rFonts w:ascii="Calibri" w:cs="Calibri" w:eastAsia="Calibri" w:hAnsi="Calibri"/>
              <w:b w:val="1"/>
              <w:color w:val="7f7f7f"/>
              <w:sz w:val="18"/>
              <w:szCs w:val="18"/>
            </w:rPr>
            <w:fldChar w:fldCharType="begin"/>
            <w:instrText xml:space="preserve">PAGE</w:instrText>
            <w:fldChar w:fldCharType="separate"/>
            <w:fldChar w:fldCharType="end"/>
          </w:r>
          <w:r w:rsidDel="00000000" w:rsidR="00000000" w:rsidRPr="00000000">
            <w:rPr>
              <w:rFonts w:ascii="Calibri" w:cs="Calibri" w:eastAsia="Calibri" w:hAnsi="Calibri"/>
              <w:b w:val="1"/>
              <w:color w:val="7f7f7f"/>
              <w:sz w:val="18"/>
              <w:szCs w:val="18"/>
              <w:rtl w:val="0"/>
            </w:rPr>
            <w:t xml:space="preserve">/</w:t>
          </w:r>
          <w:r w:rsidDel="00000000" w:rsidR="00000000" w:rsidRPr="00000000">
            <w:rPr>
              <w:rFonts w:ascii="Calibri" w:cs="Calibri" w:eastAsia="Calibri" w:hAnsi="Calibri"/>
              <w:sz w:val="18"/>
              <w:szCs w:val="18"/>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 w:val="left" w:pos="135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D57E6"/>
    <w:pPr>
      <w:spacing w:after="0" w:line="240" w:lineRule="auto"/>
    </w:pPr>
    <w:rPr>
      <w:rFonts w:ascii="Cambria" w:cs="Times New Roman" w:eastAsia="MS Minngs" w:hAnsi="Cambria"/>
      <w:sz w:val="24"/>
      <w:szCs w:val="24"/>
      <w:lang w:eastAsia="es-ES" w:val="es-ES_tradnl"/>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99"/>
    <w:qFormat w:val="1"/>
    <w:rsid w:val="002D57E6"/>
    <w:pPr>
      <w:ind w:left="720"/>
      <w:contextualSpacing w:val="1"/>
    </w:pPr>
  </w:style>
  <w:style w:type="paragraph" w:styleId="Encabezado">
    <w:name w:val="header"/>
    <w:basedOn w:val="Normal"/>
    <w:link w:val="EncabezadoCar"/>
    <w:uiPriority w:val="99"/>
    <w:unhideWhenUsed w:val="1"/>
    <w:rsid w:val="002D57E6"/>
    <w:pPr>
      <w:tabs>
        <w:tab w:val="center" w:pos="4419"/>
        <w:tab w:val="right" w:pos="8838"/>
      </w:tabs>
    </w:pPr>
  </w:style>
  <w:style w:type="character" w:styleId="EncabezadoCar" w:customStyle="1">
    <w:name w:val="Encabezado Car"/>
    <w:basedOn w:val="Fuentedeprrafopredeter"/>
    <w:link w:val="Encabezado"/>
    <w:uiPriority w:val="99"/>
    <w:rsid w:val="002D57E6"/>
    <w:rPr>
      <w:rFonts w:ascii="Cambria" w:cs="Times New Roman" w:eastAsia="MS Minngs" w:hAnsi="Cambria"/>
      <w:sz w:val="24"/>
      <w:szCs w:val="24"/>
      <w:lang w:eastAsia="es-ES" w:val="es-ES_tradnl"/>
    </w:rPr>
  </w:style>
  <w:style w:type="paragraph" w:styleId="Piedepgina">
    <w:name w:val="footer"/>
    <w:basedOn w:val="Normal"/>
    <w:link w:val="PiedepginaCar"/>
    <w:uiPriority w:val="99"/>
    <w:unhideWhenUsed w:val="1"/>
    <w:rsid w:val="002D57E6"/>
    <w:pPr>
      <w:tabs>
        <w:tab w:val="center" w:pos="4419"/>
        <w:tab w:val="right" w:pos="8838"/>
      </w:tabs>
    </w:pPr>
  </w:style>
  <w:style w:type="character" w:styleId="PiedepginaCar" w:customStyle="1">
    <w:name w:val="Pie de página Car"/>
    <w:basedOn w:val="Fuentedeprrafopredeter"/>
    <w:link w:val="Piedepgina"/>
    <w:uiPriority w:val="99"/>
    <w:rsid w:val="002D57E6"/>
    <w:rPr>
      <w:rFonts w:ascii="Cambria" w:cs="Times New Roman" w:eastAsia="MS Minngs" w:hAnsi="Cambria"/>
      <w:sz w:val="24"/>
      <w:szCs w:val="24"/>
      <w:lang w:eastAsia="es-ES" w:val="es-ES_tradnl"/>
    </w:rPr>
  </w:style>
  <w:style w:type="paragraph" w:styleId="Textodeglobo">
    <w:name w:val="Balloon Text"/>
    <w:basedOn w:val="Normal"/>
    <w:link w:val="TextodegloboCar"/>
    <w:uiPriority w:val="99"/>
    <w:semiHidden w:val="1"/>
    <w:unhideWhenUsed w:val="1"/>
    <w:rsid w:val="002D57E6"/>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2D57E6"/>
    <w:rPr>
      <w:rFonts w:ascii="Tahoma" w:cs="Tahoma" w:eastAsia="MS Minngs" w:hAnsi="Tahoma"/>
      <w:sz w:val="16"/>
      <w:szCs w:val="16"/>
      <w:lang w:eastAsia="es-ES" w:val="es-ES_tradnl"/>
    </w:rPr>
  </w:style>
  <w:style w:type="character" w:styleId="Hipervnculo">
    <w:name w:val="Hyperlink"/>
    <w:basedOn w:val="Fuentedeprrafopredeter"/>
    <w:uiPriority w:val="99"/>
    <w:unhideWhenUsed w:val="1"/>
    <w:rsid w:val="00C95731"/>
    <w:rPr>
      <w:color w:val="0000ff" w:themeColor="hyperlink"/>
      <w:u w:val="single"/>
    </w:rPr>
  </w:style>
  <w:style w:type="paragraph" w:styleId="Default" w:customStyle="1">
    <w:name w:val="Default"/>
    <w:rsid w:val="00F20B05"/>
    <w:pPr>
      <w:autoSpaceDE w:val="0"/>
      <w:autoSpaceDN w:val="0"/>
      <w:adjustRightInd w:val="0"/>
      <w:spacing w:after="0" w:line="240" w:lineRule="auto"/>
    </w:pPr>
    <w:rPr>
      <w:rFonts w:ascii="Calibri" w:cs="Calibri" w:hAnsi="Calibri"/>
      <w:color w:val="000000"/>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marquez@ib.unam.mx" TargetMode="External"/><Relationship Id="rId8" Type="http://schemas.openxmlformats.org/officeDocument/2006/relationships/hyperlink" Target="mailto:nelly.lopez@ib.una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Jnlc5jXpHGVkqBLfyWDx84BHAA==">AMUW2mWjpcYDvMfDTN/xx3VJZOeL0uT7HwEHrX4sS/dJo0TM0JDUAfG0r9M2sF/+grBMARLnXonHYs7bztvPlk+8bck4yKiMYugvzmST8AXlUh0YJ1+NwIQ3yK7McqtRmX7mQFk3LneftkTlH+5yvhDghInT0ne4cjH2tUN3OTA3YahB9px3YCRziPoXPvYmkgWhZPTUclmrlKO11KUxdnl3szLFeUGFb15QT5AtEPoNwEPG6iHm7VUpYr5G7B8gzyXIdcHaxWdht5M8c2a5lgqMFh24uZq+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2019-09-02T16:01:00Z</dcterms:created>
  <dc:creator>Laura_PC</dc:creator>
</cp:coreProperties>
</file>